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Munkedal kommunfullmäktige</w:t>
      </w:r>
    </w:p>
    <w:p>
      <w:pPr>
        <w:pStyle w:val="Heading1"/>
      </w:pPr>
      <w:r>
        <w:t xml:space="preserve">Säkra cykelvägar längs väg 162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Munkedal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är gles på landsbygden. Cykelvägar ökar trygghet och hållbar pendling enligt regionala planer.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Munkedal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byggnation av separerad cykelväg längs väg 162 mellan Munkedal och Hällevadsholm.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medel söks från Trafikverket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cykelvägen prioriteras i kommunens infrastrukturplan.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etappvis färdigställandeplan presenteras senast juni 2027.</w:t>
      </w:r>
    </w:p>
    <w:p>
      <w:pPr>
        <w:spacing w:before="360"/>
      </w:pPr>
    </w:p>
    <w:p>
      <w:r>
        <w:t xml:space="preserve">Munkedal,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Munkedal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2026-07-14T04:35:47.960Z</dcterms:created>
  <dcterms:modified xsi:type="dcterms:W3CDTF">2026-07-14T04:35:47.960Z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